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3F3AC0">
        <w:rPr>
          <w:rFonts w:ascii="Times New Roman" w:eastAsia="Times New Roman" w:hAnsi="Times New Roman" w:cs="Times New Roman"/>
          <w:b/>
          <w:bCs/>
          <w:sz w:val="28"/>
          <w:szCs w:val="28"/>
          <w:lang w:eastAsia="ru-RU"/>
        </w:rPr>
        <w:t>91</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3F3AC0">
        <w:rPr>
          <w:rFonts w:ascii="Times New Roman" w:eastAsia="Times New Roman" w:hAnsi="Times New Roman" w:cs="Times New Roman"/>
          <w:b/>
          <w:bCs/>
          <w:sz w:val="28"/>
          <w:szCs w:val="28"/>
          <w:lang w:eastAsia="ru-RU"/>
        </w:rPr>
        <w:t>Песчаного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3F3AC0">
        <w:rPr>
          <w:rFonts w:ascii="Times New Roman" w:eastAsia="Times New Roman" w:hAnsi="Times New Roman" w:cs="Times New Roman"/>
          <w:bCs/>
          <w:sz w:val="28"/>
          <w:szCs w:val="28"/>
          <w:lang w:eastAsia="ru-RU"/>
        </w:rPr>
        <w:t>Песчаного</w:t>
      </w:r>
      <w:bookmarkStart w:id="0" w:name="_GoBack"/>
      <w:bookmarkEnd w:id="0"/>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7425B1"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7425B1"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7425B1"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14 м2 на 1 м2 торговой площади рыночного комплекса в зависимости от вместимости: 14 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На территориях рынков, общественных и торговых центров, а также курортно-рекреационных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5B1" w:rsidRDefault="007425B1" w:rsidP="0012083F">
      <w:r>
        <w:separator/>
      </w:r>
    </w:p>
  </w:endnote>
  <w:endnote w:type="continuationSeparator" w:id="0">
    <w:p w:rsidR="007425B1" w:rsidRDefault="007425B1"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5B1" w:rsidRDefault="007425B1" w:rsidP="0012083F">
      <w:r>
        <w:separator/>
      </w:r>
    </w:p>
  </w:footnote>
  <w:footnote w:type="continuationSeparator" w:id="0">
    <w:p w:rsidR="007425B1" w:rsidRDefault="007425B1"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3F3AC0">
          <w:rPr>
            <w:rFonts w:ascii="Times New Roman" w:hAnsi="Times New Roman" w:cs="Times New Roman"/>
            <w:noProof/>
            <w:sz w:val="28"/>
            <w:szCs w:val="28"/>
          </w:rPr>
          <w:t>5</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AC0"/>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25B1"/>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10D3B"/>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7728B-8673-4967-A338-3E914DF1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1970</TotalTime>
  <Pages>1</Pages>
  <Words>20941</Words>
  <Characters>119366</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54</cp:revision>
  <cp:lastPrinted>2023-08-04T08:39:00Z</cp:lastPrinted>
  <dcterms:created xsi:type="dcterms:W3CDTF">2022-05-12T11:45:00Z</dcterms:created>
  <dcterms:modified xsi:type="dcterms:W3CDTF">2023-08-04T11:36:00Z</dcterms:modified>
</cp:coreProperties>
</file>